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E77A6" w:rsidRPr="003E77A6" w:rsidRDefault="003E77A6" w:rsidP="003E77A6">
      <w:pPr>
        <w:spacing w:before="100" w:beforeAutospacing="1" w:after="100" w:afterAutospacing="1" w:line="360" w:lineRule="auto"/>
        <w:jc w:val="both"/>
        <w:outlineLvl w:val="2"/>
        <w:rPr>
          <w:rFonts w:ascii="Bookman Old Style" w:eastAsia="Times New Roman" w:hAnsi="Bookman Old Style" w:cs="Times New Roman"/>
          <w:b/>
          <w:bCs/>
          <w:sz w:val="25"/>
          <w:szCs w:val="25"/>
          <w:lang w:eastAsia="pt-BR"/>
        </w:rPr>
      </w:pPr>
      <w:bookmarkStart w:id="0" w:name="_GoBack"/>
      <w:r w:rsidRPr="003E77A6">
        <w:rPr>
          <w:rFonts w:ascii="Bookman Old Style" w:eastAsia="Times New Roman" w:hAnsi="Bookman Old Style" w:cs="Times New Roman"/>
          <w:b/>
          <w:bCs/>
          <w:sz w:val="25"/>
          <w:szCs w:val="25"/>
          <w:lang w:eastAsia="pt-BR"/>
        </w:rPr>
        <w:t>Reconhecimento fotográfico como prova: limites e garantias na avaliação judicial</w:t>
      </w:r>
    </w:p>
    <w:bookmarkEnd w:id="0"/>
    <w:p w:rsidR="003E77A6" w:rsidRPr="003E77A6" w:rsidRDefault="003E77A6" w:rsidP="003E77A6">
      <w:pPr>
        <w:spacing w:before="100" w:beforeAutospacing="1" w:after="100" w:afterAutospacing="1" w:line="360" w:lineRule="auto"/>
        <w:ind w:firstLine="708"/>
        <w:jc w:val="both"/>
        <w:rPr>
          <w:rFonts w:ascii="Bookman Old Style" w:eastAsia="Times New Roman" w:hAnsi="Bookman Old Style" w:cs="Times New Roman"/>
          <w:sz w:val="25"/>
          <w:szCs w:val="25"/>
          <w:lang w:eastAsia="pt-BR"/>
        </w:rPr>
      </w:pPr>
      <w:r w:rsidRPr="003E77A6">
        <w:rPr>
          <w:rFonts w:ascii="Bookman Old Style" w:eastAsia="Times New Roman" w:hAnsi="Bookman Old Style" w:cs="Times New Roman"/>
          <w:sz w:val="25"/>
          <w:szCs w:val="25"/>
          <w:lang w:eastAsia="pt-BR"/>
        </w:rPr>
        <w:t>O reconhecimento fotográfico é um dos meios utilizados para a identificação de suspeitos em processos criminais, especialmente em casos em que a vítima ou testemunhas não tiveram contato direto e prolongado com o agente no momento do delito. Apesar de sua importância, o uso dessa prova exige cautela, pois apresenta limitações que podem impactar diretamente na segurança jurídica e na garantia do direito à ampla defesa.</w:t>
      </w:r>
    </w:p>
    <w:p w:rsidR="003E77A6" w:rsidRPr="003E77A6" w:rsidRDefault="003E77A6" w:rsidP="003E77A6">
      <w:pPr>
        <w:spacing w:before="100" w:beforeAutospacing="1" w:after="100" w:afterAutospacing="1" w:line="360" w:lineRule="auto"/>
        <w:ind w:firstLine="708"/>
        <w:jc w:val="both"/>
        <w:rPr>
          <w:rFonts w:ascii="Bookman Old Style" w:eastAsia="Times New Roman" w:hAnsi="Bookman Old Style" w:cs="Times New Roman"/>
          <w:sz w:val="25"/>
          <w:szCs w:val="25"/>
          <w:lang w:eastAsia="pt-BR"/>
        </w:rPr>
      </w:pPr>
      <w:r w:rsidRPr="003E77A6">
        <w:rPr>
          <w:rFonts w:ascii="Bookman Old Style" w:eastAsia="Times New Roman" w:hAnsi="Bookman Old Style" w:cs="Times New Roman"/>
          <w:sz w:val="25"/>
          <w:szCs w:val="25"/>
          <w:lang w:eastAsia="pt-BR"/>
        </w:rPr>
        <w:t xml:space="preserve">Recentemente, o Superior Tribunal de Justiça (STJ) decidiu, no Agravo em Recurso Especial nº 2.457.741, absolver um réu que havia sido condenado com base unicamente no reconhecimento fotográfico. O ministro relator Rogério </w:t>
      </w:r>
      <w:proofErr w:type="spellStart"/>
      <w:r w:rsidRPr="003E77A6">
        <w:rPr>
          <w:rFonts w:ascii="Bookman Old Style" w:eastAsia="Times New Roman" w:hAnsi="Bookman Old Style" w:cs="Times New Roman"/>
          <w:sz w:val="25"/>
          <w:szCs w:val="25"/>
          <w:lang w:eastAsia="pt-BR"/>
        </w:rPr>
        <w:t>Schietti</w:t>
      </w:r>
      <w:proofErr w:type="spellEnd"/>
      <w:r w:rsidRPr="003E77A6">
        <w:rPr>
          <w:rFonts w:ascii="Bookman Old Style" w:eastAsia="Times New Roman" w:hAnsi="Bookman Old Style" w:cs="Times New Roman"/>
          <w:sz w:val="25"/>
          <w:szCs w:val="25"/>
          <w:lang w:eastAsia="pt-BR"/>
        </w:rPr>
        <w:t xml:space="preserve"> Cruz destacou que, quando o reconhecimento é realizado de forma isolada e sem o amparo de outras provas complementares, sobretudo em situações nas quais a vítima teve contato visual limitado com o acusado, tal prova se torna insuficiente para fundamentar uma condenação penal.</w:t>
      </w:r>
    </w:p>
    <w:p w:rsidR="003E77A6" w:rsidRPr="003E77A6" w:rsidRDefault="003E77A6" w:rsidP="003E77A6">
      <w:pPr>
        <w:spacing w:before="100" w:beforeAutospacing="1" w:after="100" w:afterAutospacing="1" w:line="360" w:lineRule="auto"/>
        <w:ind w:firstLine="708"/>
        <w:jc w:val="both"/>
        <w:rPr>
          <w:rFonts w:ascii="Bookman Old Style" w:eastAsia="Times New Roman" w:hAnsi="Bookman Old Style" w:cs="Times New Roman"/>
          <w:sz w:val="25"/>
          <w:szCs w:val="25"/>
          <w:lang w:eastAsia="pt-BR"/>
        </w:rPr>
      </w:pPr>
      <w:r w:rsidRPr="003E77A6">
        <w:rPr>
          <w:rFonts w:ascii="Bookman Old Style" w:eastAsia="Times New Roman" w:hAnsi="Bookman Old Style" w:cs="Times New Roman"/>
          <w:sz w:val="25"/>
          <w:szCs w:val="25"/>
          <w:lang w:eastAsia="pt-BR"/>
        </w:rPr>
        <w:t>De acordo com o artigo 226 do Código de Processo Penal, o reconhecimento pessoal deve observar critérios rigorosos para assegurar sua validade, como a presença de múltiplas fotografias semelhantes entre si e o acompanhamento por autoridade policial. Mesmo assim, a prova fotográfica, por si só, é considerada frágil e vulnerável a erros, principalmente quando a vítima é submetida a condições que podem prejudicar a sua percepção e memória, como medo, estresse ou tempo reduzido de observação.</w:t>
      </w:r>
    </w:p>
    <w:p w:rsidR="003E77A6" w:rsidRPr="003E77A6" w:rsidRDefault="003E77A6" w:rsidP="003E77A6">
      <w:pPr>
        <w:spacing w:before="100" w:beforeAutospacing="1" w:after="100" w:afterAutospacing="1" w:line="360" w:lineRule="auto"/>
        <w:ind w:firstLine="708"/>
        <w:jc w:val="both"/>
        <w:rPr>
          <w:rFonts w:ascii="Bookman Old Style" w:eastAsia="Times New Roman" w:hAnsi="Bookman Old Style" w:cs="Times New Roman"/>
          <w:sz w:val="25"/>
          <w:szCs w:val="25"/>
          <w:lang w:eastAsia="pt-BR"/>
        </w:rPr>
      </w:pPr>
      <w:r w:rsidRPr="003E77A6">
        <w:rPr>
          <w:rFonts w:ascii="Bookman Old Style" w:eastAsia="Times New Roman" w:hAnsi="Bookman Old Style" w:cs="Times New Roman"/>
          <w:sz w:val="25"/>
          <w:szCs w:val="25"/>
          <w:lang w:eastAsia="pt-BR"/>
        </w:rPr>
        <w:t xml:space="preserve">O STJ reforça que, diante da fragilidade intrínseca do reconhecimento fotográfico isolado, deve prevalecer o princípio constitucional do </w:t>
      </w:r>
      <w:r w:rsidRPr="003E77A6">
        <w:rPr>
          <w:rFonts w:ascii="Bookman Old Style" w:eastAsia="Times New Roman" w:hAnsi="Bookman Old Style" w:cs="Times New Roman"/>
          <w:b/>
          <w:bCs/>
          <w:sz w:val="25"/>
          <w:szCs w:val="25"/>
          <w:lang w:eastAsia="pt-BR"/>
        </w:rPr>
        <w:t>in dubio pro reo</w:t>
      </w:r>
      <w:r w:rsidRPr="003E77A6">
        <w:rPr>
          <w:rFonts w:ascii="Bookman Old Style" w:eastAsia="Times New Roman" w:hAnsi="Bookman Old Style" w:cs="Times New Roman"/>
          <w:sz w:val="25"/>
          <w:szCs w:val="25"/>
          <w:lang w:eastAsia="pt-BR"/>
        </w:rPr>
        <w:t xml:space="preserve">, que determina que a dúvida beneficie o réu. A ausência de outras provas robustas que corroborem </w:t>
      </w:r>
      <w:r w:rsidRPr="003E77A6">
        <w:rPr>
          <w:rFonts w:ascii="Bookman Old Style" w:eastAsia="Times New Roman" w:hAnsi="Bookman Old Style" w:cs="Times New Roman"/>
          <w:sz w:val="25"/>
          <w:szCs w:val="25"/>
          <w:lang w:eastAsia="pt-BR"/>
        </w:rPr>
        <w:lastRenderedPageBreak/>
        <w:t>a autoria ou materialidade do delito impede a formação do convencimento do juiz para a condenação, sob pena de violação do direito fundamental à presunção de inocência.</w:t>
      </w:r>
    </w:p>
    <w:p w:rsidR="003E77A6" w:rsidRPr="003E77A6" w:rsidRDefault="003E77A6" w:rsidP="003E77A6">
      <w:pPr>
        <w:spacing w:before="100" w:beforeAutospacing="1" w:after="100" w:afterAutospacing="1" w:line="360" w:lineRule="auto"/>
        <w:ind w:firstLine="708"/>
        <w:jc w:val="both"/>
        <w:rPr>
          <w:rFonts w:ascii="Bookman Old Style" w:eastAsia="Times New Roman" w:hAnsi="Bookman Old Style" w:cs="Times New Roman"/>
          <w:sz w:val="25"/>
          <w:szCs w:val="25"/>
          <w:lang w:eastAsia="pt-BR"/>
        </w:rPr>
      </w:pPr>
      <w:r w:rsidRPr="003E77A6">
        <w:rPr>
          <w:rFonts w:ascii="Bookman Old Style" w:eastAsia="Times New Roman" w:hAnsi="Bookman Old Style" w:cs="Times New Roman"/>
          <w:sz w:val="25"/>
          <w:szCs w:val="25"/>
          <w:lang w:eastAsia="pt-BR"/>
        </w:rPr>
        <w:t>Além disso, a decisão ressalta a necessidade de que o reconhecimento seja realizado em condições que garantam sua confiabilidade, como o reconhecimento presencial preferencialmente em local apropriado e com todas as garantias legais. O reconhecimento fotográfico pode servir como um indicativo inicial, mas nunca deve ser o único fundamento para condenação.</w:t>
      </w:r>
    </w:p>
    <w:p w:rsidR="003E77A6" w:rsidRDefault="003E77A6" w:rsidP="003E77A6">
      <w:pPr>
        <w:spacing w:before="100" w:beforeAutospacing="1" w:after="100" w:afterAutospacing="1" w:line="360" w:lineRule="auto"/>
        <w:ind w:firstLine="708"/>
        <w:jc w:val="both"/>
        <w:rPr>
          <w:rFonts w:ascii="Bookman Old Style" w:eastAsia="Times New Roman" w:hAnsi="Bookman Old Style" w:cs="Times New Roman"/>
          <w:sz w:val="25"/>
          <w:szCs w:val="25"/>
          <w:lang w:eastAsia="pt-BR"/>
        </w:rPr>
      </w:pPr>
      <w:r w:rsidRPr="003E77A6">
        <w:rPr>
          <w:rFonts w:ascii="Bookman Old Style" w:eastAsia="Times New Roman" w:hAnsi="Bookman Old Style" w:cs="Times New Roman"/>
          <w:sz w:val="25"/>
          <w:szCs w:val="25"/>
          <w:lang w:eastAsia="pt-BR"/>
        </w:rPr>
        <w:t xml:space="preserve">Essa orientação do STJ é um importante avanço para evitar condenações injustas baseadas em provas frágeis, protegendo o direito do acusado a um julgamento justo e o devido processo legal. </w:t>
      </w:r>
    </w:p>
    <w:p w:rsidR="003E77A6" w:rsidRPr="003E77A6" w:rsidRDefault="003E77A6" w:rsidP="003E77A6">
      <w:pPr>
        <w:spacing w:before="100" w:beforeAutospacing="1" w:after="100" w:afterAutospacing="1" w:line="360" w:lineRule="auto"/>
        <w:ind w:firstLine="708"/>
        <w:jc w:val="both"/>
        <w:rPr>
          <w:rFonts w:ascii="Bookman Old Style" w:eastAsia="Times New Roman" w:hAnsi="Bookman Old Style" w:cs="Times New Roman"/>
          <w:sz w:val="25"/>
          <w:szCs w:val="25"/>
          <w:lang w:eastAsia="pt-BR"/>
        </w:rPr>
      </w:pPr>
      <w:r w:rsidRPr="003E77A6">
        <w:rPr>
          <w:rFonts w:ascii="Bookman Old Style" w:eastAsia="Times New Roman" w:hAnsi="Bookman Old Style" w:cs="Times New Roman"/>
          <w:sz w:val="25"/>
          <w:szCs w:val="25"/>
          <w:lang w:eastAsia="pt-BR"/>
        </w:rPr>
        <w:t>A prudência na valoração do reconhecimento fotográfico é essencial para a manutenção da segurança jurídica e da integridade do sistema penal.</w:t>
      </w:r>
    </w:p>
    <w:p w:rsidR="00356511" w:rsidRPr="003E77A6" w:rsidRDefault="00356511" w:rsidP="003E77A6">
      <w:pPr>
        <w:spacing w:line="360" w:lineRule="auto"/>
        <w:jc w:val="both"/>
        <w:rPr>
          <w:rFonts w:ascii="Bookman Old Style" w:hAnsi="Bookman Old Style"/>
          <w:sz w:val="25"/>
          <w:szCs w:val="25"/>
        </w:rPr>
      </w:pPr>
    </w:p>
    <w:sectPr w:rsidR="00356511" w:rsidRPr="003E77A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70BD"/>
    <w:rsid w:val="00356511"/>
    <w:rsid w:val="003E77A6"/>
    <w:rsid w:val="004170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E7D248"/>
  <w15:chartTrackingRefBased/>
  <w15:docId w15:val="{C8E13406-3403-444E-9187-C98BA7E61F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3">
    <w:name w:val="heading 3"/>
    <w:basedOn w:val="Normal"/>
    <w:link w:val="Ttulo3Char"/>
    <w:uiPriority w:val="9"/>
    <w:qFormat/>
    <w:rsid w:val="003E77A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3E77A6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paragraph" w:styleId="NormalWeb">
    <w:name w:val="Normal (Web)"/>
    <w:basedOn w:val="Normal"/>
    <w:uiPriority w:val="99"/>
    <w:semiHidden/>
    <w:unhideWhenUsed/>
    <w:rsid w:val="003E77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3E77A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4006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408</Words>
  <Characters>2208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2025-06-09T13:39:00Z</dcterms:created>
  <dcterms:modified xsi:type="dcterms:W3CDTF">2025-06-09T13:39:00Z</dcterms:modified>
</cp:coreProperties>
</file>